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313104</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21</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mobility requirements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8.13.4.2</w:t>
      </w:r>
      <w:bookmarkStart w:id="1" w:name="_GoBack"/>
      <w:bookmarkEnd w:id="1"/>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spread general discussion around RRM aspects in ATG case. The following agreements around mobility aspects were achieved in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1" w:hRule="atLeast"/>
        </w:trPr>
        <w:tc>
          <w:tcPr>
            <w:tcW w:w="9514" w:type="dxa"/>
          </w:tcPr>
          <w:p>
            <w:pPr>
              <w:keepLines w:val="0"/>
              <w:pageBreakBefore w:val="0"/>
              <w:kinsoku/>
              <w:wordWrap/>
              <w:topLinePunct w:val="0"/>
              <w:bidi w:val="0"/>
              <w:snapToGrid/>
              <w:textAlignment w:val="auto"/>
              <w:rPr>
                <w:rFonts w:hint="eastAsia" w:eastAsia="宋体" w:cs="Arial"/>
                <w:b w:val="0"/>
                <w:bCs w:val="0"/>
                <w:kern w:val="0"/>
                <w:sz w:val="24"/>
                <w:szCs w:val="24"/>
                <w:lang w:val="en-US" w:eastAsia="zh-CN"/>
              </w:rPr>
            </w:pPr>
            <w:r>
              <w:rPr>
                <w:rFonts w:cs="Arial"/>
                <w:b w:val="0"/>
                <w:bCs w:val="0"/>
                <w:kern w:val="0"/>
                <w:sz w:val="24"/>
                <w:szCs w:val="24"/>
                <w:lang w:val="en-GB"/>
              </w:rPr>
              <w:t xml:space="preserve">Mobility in </w:t>
            </w:r>
            <w:r>
              <w:rPr>
                <w:rFonts w:hint="eastAsia" w:cs="Arial"/>
                <w:b w:val="0"/>
                <w:bCs w:val="0"/>
                <w:kern w:val="0"/>
                <w:sz w:val="24"/>
                <w:szCs w:val="24"/>
                <w:lang w:val="en-GB"/>
              </w:rPr>
              <w:t>R</w:t>
            </w:r>
            <w:r>
              <w:rPr>
                <w:rFonts w:cs="Arial"/>
                <w:b w:val="0"/>
                <w:bCs w:val="0"/>
                <w:kern w:val="0"/>
                <w:sz w:val="24"/>
                <w:szCs w:val="24"/>
                <w:lang w:val="en-GB"/>
              </w:rPr>
              <w:t>RC_IDLE/INACTIVE</w:t>
            </w:r>
            <w:r>
              <w:rPr>
                <w:rFonts w:hint="eastAsia" w:eastAsia="宋体" w:cs="Arial"/>
                <w:b w:val="0"/>
                <w:bCs w:val="0"/>
                <w:kern w:val="0"/>
                <w:sz w:val="24"/>
                <w:szCs w:val="24"/>
                <w:lang w:val="en-US" w:eastAsia="zh-CN"/>
              </w:rPr>
              <w:t>:</w:t>
            </w:r>
          </w:p>
          <w:p>
            <w:pPr>
              <w:keepLines w:val="0"/>
              <w:pageBreakBefore w:val="0"/>
              <w:kinsoku/>
              <w:wordWrap/>
              <w:topLinePunct w:val="0"/>
              <w:bidi w:val="0"/>
              <w:snapToGrid/>
              <w:textAlignment w:val="auto"/>
              <w:rPr>
                <w:b/>
                <w:sz w:val="20"/>
                <w:szCs w:val="20"/>
                <w:u w:val="single"/>
                <w:lang w:eastAsia="ko-KR"/>
              </w:rPr>
            </w:pPr>
            <w:r>
              <w:rPr>
                <w:b/>
                <w:sz w:val="20"/>
                <w:szCs w:val="20"/>
                <w:u w:val="single"/>
                <w:lang w:eastAsia="ko-KR"/>
              </w:rPr>
              <w:t>Issue 2-1-1: Cell re-selection mechanism</w:t>
            </w:r>
          </w:p>
          <w:p>
            <w:pPr>
              <w:autoSpaceDE w:val="0"/>
              <w:autoSpaceDN w:val="0"/>
              <w:adjustRightInd w:val="0"/>
              <w:spacing w:after="60" w:line="240" w:lineRule="auto"/>
              <w:jc w:val="left"/>
              <w:rPr>
                <w:rFonts w:eastAsiaTheme="minorEastAsia"/>
                <w:b/>
                <w:bCs/>
                <w:iCs/>
                <w:sz w:val="20"/>
                <w:szCs w:val="20"/>
              </w:rPr>
            </w:pPr>
            <w:r>
              <w:rPr>
                <w:rFonts w:hint="eastAsia" w:eastAsiaTheme="minorEastAsia"/>
                <w:b/>
                <w:bCs/>
                <w:iCs/>
                <w:sz w:val="20"/>
                <w:szCs w:val="20"/>
                <w:highlight w:val="green"/>
              </w:rPr>
              <w:t>Agreement</w:t>
            </w:r>
          </w:p>
          <w:p>
            <w:pPr>
              <w:pStyle w:val="28"/>
              <w:numPr>
                <w:ilvl w:val="0"/>
                <w:numId w:val="4"/>
              </w:numPr>
              <w:autoSpaceDE w:val="0"/>
              <w:autoSpaceDN w:val="0"/>
              <w:adjustRightInd w:val="0"/>
              <w:spacing w:after="120" w:line="240" w:lineRule="auto"/>
              <w:ind w:firstLineChars="0"/>
              <w:jc w:val="left"/>
              <w:rPr>
                <w:rFonts w:eastAsia="宋体" w:cs="Times New Roman"/>
                <w:sz w:val="20"/>
                <w:szCs w:val="20"/>
              </w:rPr>
            </w:pPr>
            <w:r>
              <w:rPr>
                <w:rFonts w:hint="eastAsia" w:eastAsia="宋体" w:cs="Times New Roman"/>
                <w:sz w:val="20"/>
                <w:szCs w:val="20"/>
              </w:rPr>
              <w:t>Distance-based solution</w:t>
            </w:r>
          </w:p>
          <w:p>
            <w:pPr>
              <w:pStyle w:val="28"/>
              <w:numPr>
                <w:ilvl w:val="1"/>
                <w:numId w:val="4"/>
              </w:numPr>
              <w:autoSpaceDE w:val="0"/>
              <w:autoSpaceDN w:val="0"/>
              <w:adjustRightInd w:val="0"/>
              <w:spacing w:after="120" w:line="240" w:lineRule="auto"/>
              <w:ind w:firstLineChars="0"/>
              <w:jc w:val="left"/>
              <w:rPr>
                <w:rFonts w:eastAsia="宋体" w:cs="Times New Roman"/>
                <w:sz w:val="20"/>
                <w:szCs w:val="20"/>
              </w:rPr>
            </w:pPr>
            <w:r>
              <w:rPr>
                <w:rFonts w:hint="eastAsia" w:eastAsia="宋体" w:cs="Times New Roman"/>
                <w:sz w:val="20"/>
                <w:szCs w:val="20"/>
              </w:rPr>
              <w:t xml:space="preserve">Option 1: </w:t>
            </w:r>
            <w:r>
              <w:rPr>
                <w:rFonts w:eastAsia="宋体" w:cs="Times New Roman"/>
                <w:sz w:val="20"/>
                <w:szCs w:val="20"/>
              </w:rPr>
              <w:t>Introduce distance-based triggering as an additional condition for intra- and inter-frequency cell measurement as NTN, whether and how to configure the feature is up to network implementation</w:t>
            </w:r>
            <w:r>
              <w:rPr>
                <w:rFonts w:hint="eastAsia" w:eastAsia="宋体" w:cs="Times New Roman"/>
                <w:sz w:val="20"/>
                <w:szCs w:val="20"/>
              </w:rPr>
              <w:t xml:space="preserve">, provided that existing NTN </w:t>
            </w:r>
            <w:r>
              <w:rPr>
                <w:rFonts w:eastAsia="宋体" w:cs="Times New Roman"/>
                <w:sz w:val="20"/>
                <w:szCs w:val="20"/>
              </w:rPr>
              <w:t>signalling</w:t>
            </w:r>
            <w:r>
              <w:rPr>
                <w:rFonts w:hint="eastAsia" w:eastAsia="宋体" w:cs="Times New Roman"/>
                <w:sz w:val="20"/>
                <w:szCs w:val="20"/>
              </w:rPr>
              <w:t xml:space="preserve"> is reused.</w:t>
            </w:r>
          </w:p>
          <w:p>
            <w:pPr>
              <w:pStyle w:val="28"/>
              <w:numPr>
                <w:ilvl w:val="1"/>
                <w:numId w:val="4"/>
              </w:numPr>
              <w:autoSpaceDE w:val="0"/>
              <w:autoSpaceDN w:val="0"/>
              <w:adjustRightInd w:val="0"/>
              <w:spacing w:after="120" w:line="240" w:lineRule="auto"/>
              <w:ind w:firstLineChars="0"/>
              <w:jc w:val="left"/>
              <w:rPr>
                <w:rFonts w:eastAsia="宋体" w:cs="Times New Roman"/>
                <w:sz w:val="20"/>
                <w:szCs w:val="20"/>
              </w:rPr>
            </w:pPr>
            <w:r>
              <w:rPr>
                <w:rFonts w:hint="eastAsia" w:eastAsia="宋体" w:cs="Times New Roman"/>
                <w:sz w:val="20"/>
                <w:szCs w:val="20"/>
              </w:rPr>
              <w:t xml:space="preserve">Option 2: Do not introduce distance-based </w:t>
            </w:r>
            <w:r>
              <w:rPr>
                <w:rFonts w:eastAsia="宋体" w:cs="Times New Roman"/>
                <w:sz w:val="20"/>
                <w:szCs w:val="20"/>
              </w:rPr>
              <w:t>triggering</w:t>
            </w:r>
            <w:r>
              <w:rPr>
                <w:rFonts w:hint="eastAsia" w:eastAsia="宋体" w:cs="Times New Roman"/>
                <w:sz w:val="20"/>
                <w:szCs w:val="20"/>
              </w:rPr>
              <w:t xml:space="preserve"> measurement. </w:t>
            </w:r>
          </w:p>
          <w:p>
            <w:pPr>
              <w:pStyle w:val="28"/>
              <w:numPr>
                <w:ilvl w:val="0"/>
                <w:numId w:val="4"/>
              </w:numPr>
              <w:autoSpaceDE w:val="0"/>
              <w:autoSpaceDN w:val="0"/>
              <w:adjustRightInd w:val="0"/>
              <w:spacing w:after="120" w:line="240" w:lineRule="auto"/>
              <w:ind w:firstLineChars="0"/>
              <w:jc w:val="left"/>
              <w:rPr>
                <w:rFonts w:eastAsia="宋体" w:cs="Times New Roman"/>
                <w:sz w:val="20"/>
                <w:szCs w:val="20"/>
              </w:rPr>
            </w:pPr>
            <w:r>
              <w:rPr>
                <w:rFonts w:hint="eastAsia" w:eastAsia="宋体" w:cs="Times New Roman"/>
                <w:sz w:val="20"/>
                <w:szCs w:val="20"/>
              </w:rPr>
              <w:t>Altitude-based solution</w:t>
            </w:r>
          </w:p>
          <w:p>
            <w:pPr>
              <w:pStyle w:val="28"/>
              <w:numPr>
                <w:ilvl w:val="1"/>
                <w:numId w:val="4"/>
              </w:numPr>
              <w:autoSpaceDE w:val="0"/>
              <w:autoSpaceDN w:val="0"/>
              <w:adjustRightInd w:val="0"/>
              <w:spacing w:after="120" w:line="240" w:lineRule="auto"/>
              <w:ind w:firstLineChars="0"/>
              <w:jc w:val="left"/>
              <w:rPr>
                <w:rFonts w:eastAsia="宋体" w:cs="Times New Roman"/>
                <w:sz w:val="20"/>
                <w:szCs w:val="20"/>
              </w:rPr>
            </w:pPr>
            <w:r>
              <w:rPr>
                <w:rFonts w:hint="eastAsia" w:eastAsia="宋体" w:cs="Times New Roman"/>
                <w:sz w:val="20"/>
                <w:szCs w:val="20"/>
              </w:rPr>
              <w:t xml:space="preserve">Common understanding is that ATG UE is turned off lower 3km altitude. </w:t>
            </w:r>
          </w:p>
          <w:p>
            <w:pPr>
              <w:keepLines w:val="0"/>
              <w:pageBreakBefore w:val="0"/>
              <w:kinsoku/>
              <w:wordWrap/>
              <w:topLinePunct w:val="0"/>
              <w:bidi w:val="0"/>
              <w:snapToGrid/>
              <w:textAlignment w:val="auto"/>
              <w:rPr>
                <w:rFonts w:hint="eastAsia" w:eastAsia="宋体" w:cs="Times New Roman"/>
                <w:sz w:val="20"/>
                <w:szCs w:val="20"/>
              </w:rPr>
            </w:pPr>
            <w:r>
              <w:rPr>
                <w:rFonts w:hint="eastAsia" w:eastAsia="宋体" w:cs="Times New Roman"/>
                <w:sz w:val="20"/>
                <w:szCs w:val="20"/>
              </w:rPr>
              <w:t>The ATG RRM requirements apply for ATG UE operating higher than 3km altitude.</w:t>
            </w:r>
          </w:p>
          <w:p>
            <w:pPr>
              <w:rPr>
                <w:b/>
                <w:sz w:val="20"/>
                <w:szCs w:val="20"/>
                <w:u w:val="single"/>
                <w:lang w:eastAsia="ko-KR"/>
              </w:rPr>
            </w:pPr>
            <w:r>
              <w:rPr>
                <w:b/>
                <w:sz w:val="20"/>
                <w:szCs w:val="20"/>
                <w:u w:val="single"/>
                <w:lang w:eastAsia="ko-KR"/>
              </w:rPr>
              <w:t>Issue 2-1-3: Cell re-selection measurement requirements</w:t>
            </w:r>
          </w:p>
          <w:p>
            <w:pPr>
              <w:autoSpaceDE w:val="0"/>
              <w:autoSpaceDN w:val="0"/>
              <w:adjustRightInd w:val="0"/>
              <w:spacing w:after="60" w:line="240" w:lineRule="auto"/>
              <w:rPr>
                <w:rFonts w:eastAsiaTheme="minorEastAsia"/>
                <w:b/>
                <w:bCs/>
                <w:iCs/>
                <w:sz w:val="20"/>
                <w:szCs w:val="20"/>
              </w:rPr>
            </w:pPr>
            <w:r>
              <w:rPr>
                <w:rFonts w:hint="eastAsia" w:eastAsiaTheme="minorEastAsia"/>
                <w:b/>
                <w:bCs/>
                <w:iCs/>
                <w:sz w:val="20"/>
                <w:szCs w:val="20"/>
                <w:highlight w:val="green"/>
              </w:rPr>
              <w:t>Agreement</w:t>
            </w:r>
            <w:r>
              <w:rPr>
                <w:rFonts w:hint="eastAsia" w:eastAsiaTheme="minorEastAsia"/>
                <w:b/>
                <w:bCs/>
                <w:iCs/>
                <w:sz w:val="20"/>
                <w:szCs w:val="20"/>
              </w:rPr>
              <w:t>:</w:t>
            </w:r>
          </w:p>
          <w:p>
            <w:pPr>
              <w:keepLines w:val="0"/>
              <w:pageBreakBefore w:val="0"/>
              <w:kinsoku/>
              <w:wordWrap/>
              <w:topLinePunct w:val="0"/>
              <w:bidi w:val="0"/>
              <w:snapToGrid/>
              <w:textAlignment w:val="auto"/>
              <w:rPr>
                <w:rFonts w:hint="eastAsia" w:eastAsia="宋体" w:cs="Times New Roman"/>
                <w:sz w:val="20"/>
                <w:szCs w:val="20"/>
              </w:rPr>
            </w:pPr>
            <w:r>
              <w:rPr>
                <w:rFonts w:eastAsia="宋体" w:cs="Times New Roman"/>
                <w:sz w:val="20"/>
                <w:szCs w:val="20"/>
              </w:rPr>
              <w:t></w:t>
            </w:r>
            <w:r>
              <w:rPr>
                <w:rFonts w:eastAsia="宋体" w:cs="Times New Roman"/>
                <w:sz w:val="20"/>
                <w:szCs w:val="20"/>
              </w:rPr>
              <w:tab/>
            </w:r>
            <w:r>
              <w:rPr>
                <w:rFonts w:eastAsia="宋体" w:cs="Times New Roman"/>
                <w:sz w:val="20"/>
                <w:szCs w:val="20"/>
              </w:rPr>
              <w:t>Set 2 applies only to cell detection delays.</w:t>
            </w:r>
          </w:p>
          <w:p>
            <w:pPr>
              <w:rPr>
                <w:b/>
                <w:sz w:val="20"/>
                <w:szCs w:val="20"/>
                <w:u w:val="single"/>
                <w:lang w:eastAsia="ko-KR"/>
              </w:rPr>
            </w:pPr>
            <w:r>
              <w:rPr>
                <w:b/>
                <w:sz w:val="20"/>
                <w:szCs w:val="20"/>
                <w:u w:val="single"/>
                <w:lang w:eastAsia="ko-KR"/>
              </w:rPr>
              <w:t>Issue 2-1-4: Signalling for Cell re-selection measurement requirements</w:t>
            </w:r>
          </w:p>
          <w:p>
            <w:pPr>
              <w:autoSpaceDE w:val="0"/>
              <w:autoSpaceDN w:val="0"/>
              <w:adjustRightInd w:val="0"/>
              <w:spacing w:after="60" w:line="240" w:lineRule="auto"/>
              <w:rPr>
                <w:rFonts w:eastAsiaTheme="minorEastAsia"/>
                <w:b/>
                <w:bCs/>
                <w:iCs/>
                <w:sz w:val="20"/>
                <w:szCs w:val="20"/>
              </w:rPr>
            </w:pPr>
            <w:r>
              <w:rPr>
                <w:rFonts w:hint="eastAsia" w:eastAsiaTheme="minorEastAsia"/>
                <w:b/>
                <w:bCs/>
                <w:iCs/>
                <w:sz w:val="20"/>
                <w:szCs w:val="20"/>
                <w:highlight w:val="green"/>
              </w:rPr>
              <w:t>Agreement</w:t>
            </w:r>
            <w:r>
              <w:rPr>
                <w:rFonts w:hint="eastAsia" w:eastAsiaTheme="minorEastAsia"/>
                <w:b/>
                <w:bCs/>
                <w:iCs/>
                <w:sz w:val="20"/>
                <w:szCs w:val="20"/>
              </w:rPr>
              <w:t>:</w:t>
            </w:r>
          </w:p>
          <w:p>
            <w:pPr>
              <w:keepLines w:val="0"/>
              <w:pageBreakBefore w:val="0"/>
              <w:kinsoku/>
              <w:wordWrap/>
              <w:topLinePunct w:val="0"/>
              <w:bidi w:val="0"/>
              <w:snapToGrid/>
              <w:ind w:leftChars="200"/>
              <w:textAlignment w:val="auto"/>
              <w:rPr>
                <w:rFonts w:hint="eastAsia" w:eastAsia="宋体" w:cs="Times New Roman"/>
                <w:sz w:val="20"/>
                <w:szCs w:val="20"/>
              </w:rPr>
            </w:pPr>
            <w:r>
              <w:rPr>
                <w:rFonts w:hint="eastAsia" w:eastAsia="宋体" w:cs="Times New Roman"/>
                <w:sz w:val="20"/>
                <w:szCs w:val="20"/>
              </w:rPr>
              <w:t>Introduce o</w:t>
            </w:r>
            <w:r>
              <w:rPr>
                <w:rFonts w:eastAsia="宋体" w:cs="Times New Roman"/>
                <w:sz w:val="20"/>
                <w:szCs w:val="20"/>
              </w:rPr>
              <w:t xml:space="preserve">ptional UE capability for </w:t>
            </w:r>
            <w:r>
              <w:rPr>
                <w:rFonts w:hint="eastAsia" w:eastAsia="宋体" w:cs="Times New Roman"/>
                <w:sz w:val="20"/>
                <w:szCs w:val="20"/>
              </w:rPr>
              <w:t>supporting set2</w:t>
            </w:r>
            <w:r>
              <w:rPr>
                <w:rFonts w:eastAsia="宋体" w:cs="Times New Roman"/>
                <w:sz w:val="20"/>
                <w:szCs w:val="20"/>
              </w:rPr>
              <w:t xml:space="preserve"> requirements for ATG </w:t>
            </w:r>
          </w:p>
          <w:p>
            <w:pPr>
              <w:keepLines w:val="0"/>
              <w:pageBreakBefore w:val="0"/>
              <w:kinsoku/>
              <w:wordWrap/>
              <w:topLinePunct w:val="0"/>
              <w:bidi w:val="0"/>
              <w:snapToGrid/>
              <w:textAlignment w:val="auto"/>
              <w:rPr>
                <w:rFonts w:hint="eastAsia" w:eastAsia="宋体" w:cs="Times New Roman"/>
                <w:sz w:val="20"/>
                <w:szCs w:val="20"/>
              </w:rPr>
            </w:pPr>
            <w:r>
              <w:rPr>
                <w:b/>
                <w:sz w:val="20"/>
                <w:szCs w:val="20"/>
                <w:u w:val="single"/>
                <w:lang w:eastAsia="ko-KR"/>
              </w:rPr>
              <w:t>Issue 2-1-5: How to switch between the two sets of cell re-selection requirements</w:t>
            </w:r>
          </w:p>
          <w:p>
            <w:pPr>
              <w:autoSpaceDE w:val="0"/>
              <w:autoSpaceDN w:val="0"/>
              <w:adjustRightInd w:val="0"/>
              <w:spacing w:after="60" w:line="240" w:lineRule="auto"/>
              <w:rPr>
                <w:rFonts w:eastAsiaTheme="minorEastAsia"/>
                <w:b/>
                <w:bCs/>
                <w:iCs/>
                <w:sz w:val="20"/>
                <w:szCs w:val="20"/>
              </w:rPr>
            </w:pPr>
            <w:r>
              <w:rPr>
                <w:rFonts w:hint="eastAsia" w:eastAsiaTheme="minorEastAsia"/>
                <w:b/>
                <w:bCs/>
                <w:iCs/>
                <w:sz w:val="20"/>
                <w:szCs w:val="20"/>
                <w:highlight w:val="green"/>
              </w:rPr>
              <w:t>Agreement</w:t>
            </w:r>
            <w:r>
              <w:rPr>
                <w:rFonts w:hint="eastAsia" w:eastAsiaTheme="minorEastAsia"/>
                <w:b/>
                <w:bCs/>
                <w:iCs/>
                <w:sz w:val="20"/>
                <w:szCs w:val="20"/>
              </w:rPr>
              <w:t>:</w:t>
            </w:r>
          </w:p>
          <w:p>
            <w:pPr>
              <w:pStyle w:val="28"/>
              <w:numPr>
                <w:ilvl w:val="0"/>
                <w:numId w:val="4"/>
              </w:numPr>
              <w:autoSpaceDE w:val="0"/>
              <w:autoSpaceDN w:val="0"/>
              <w:adjustRightInd w:val="0"/>
              <w:spacing w:after="120" w:line="240" w:lineRule="auto"/>
              <w:ind w:hanging="357" w:firstLineChars="0"/>
              <w:rPr>
                <w:rFonts w:eastAsia="宋体" w:cs="Times New Roman"/>
                <w:sz w:val="20"/>
                <w:szCs w:val="20"/>
              </w:rPr>
            </w:pPr>
            <w:r>
              <w:rPr>
                <w:rFonts w:eastAsia="宋体" w:cs="Times New Roman"/>
                <w:sz w:val="20"/>
                <w:szCs w:val="20"/>
              </w:rPr>
              <w:t>RAN4 to request RAN2 to define ATG indicator (via system information) which is used to determine which set (set 1 or set 2) of requirements to meet.</w:t>
            </w:r>
          </w:p>
          <w:p>
            <w:pPr>
              <w:pStyle w:val="28"/>
              <w:numPr>
                <w:ilvl w:val="1"/>
                <w:numId w:val="4"/>
              </w:numPr>
              <w:autoSpaceDE w:val="0"/>
              <w:autoSpaceDN w:val="0"/>
              <w:adjustRightInd w:val="0"/>
              <w:spacing w:after="120" w:line="240" w:lineRule="auto"/>
              <w:ind w:firstLineChars="0"/>
              <w:rPr>
                <w:rFonts w:eastAsia="宋体" w:cs="Times New Roman"/>
                <w:sz w:val="20"/>
                <w:szCs w:val="20"/>
              </w:rPr>
            </w:pPr>
            <w:r>
              <w:rPr>
                <w:rFonts w:eastAsia="宋体" w:cs="Times New Roman"/>
                <w:sz w:val="20"/>
                <w:szCs w:val="20"/>
              </w:rPr>
              <w:t>UE meets set 2 requirements when ATG indicator is received.</w:t>
            </w:r>
          </w:p>
          <w:p>
            <w:pPr>
              <w:pStyle w:val="28"/>
              <w:numPr>
                <w:ilvl w:val="1"/>
                <w:numId w:val="4"/>
              </w:numPr>
              <w:autoSpaceDE w:val="0"/>
              <w:autoSpaceDN w:val="0"/>
              <w:adjustRightInd w:val="0"/>
              <w:spacing w:after="120" w:line="240" w:lineRule="auto"/>
              <w:ind w:firstLineChars="0"/>
              <w:rPr>
                <w:rFonts w:eastAsia="宋体" w:cs="Times New Roman"/>
                <w:sz w:val="20"/>
                <w:szCs w:val="20"/>
              </w:rPr>
            </w:pPr>
            <w:r>
              <w:rPr>
                <w:rFonts w:eastAsia="宋体" w:cs="Times New Roman"/>
                <w:sz w:val="20"/>
                <w:szCs w:val="20"/>
              </w:rPr>
              <w:t>Otherwise, UE meets set 1 requirement.</w:t>
            </w:r>
          </w:p>
          <w:p>
            <w:pPr>
              <w:pStyle w:val="28"/>
              <w:numPr>
                <w:ilvl w:val="0"/>
                <w:numId w:val="4"/>
              </w:numPr>
              <w:autoSpaceDE w:val="0"/>
              <w:autoSpaceDN w:val="0"/>
              <w:adjustRightInd w:val="0"/>
              <w:spacing w:after="120" w:line="240" w:lineRule="auto"/>
              <w:ind w:hanging="357" w:firstLineChars="0"/>
              <w:rPr>
                <w:rFonts w:hint="eastAsia" w:eastAsia="宋体" w:cs="Times New Roman"/>
                <w:sz w:val="20"/>
                <w:szCs w:val="20"/>
                <w:lang w:val="en-US" w:eastAsia="zh-CN"/>
              </w:rPr>
            </w:pPr>
            <w:r>
              <w:rPr>
                <w:rFonts w:eastAsia="宋体" w:cs="Times New Roman"/>
                <w:sz w:val="20"/>
                <w:szCs w:val="20"/>
              </w:rPr>
              <w:t xml:space="preserve">For a particular cell, network can indicate </w:t>
            </w:r>
            <w:r>
              <w:rPr>
                <w:rFonts w:hint="eastAsia" w:eastAsia="宋体" w:cs="Times New Roman"/>
                <w:sz w:val="20"/>
                <w:szCs w:val="20"/>
              </w:rPr>
              <w:t>s</w:t>
            </w:r>
            <w:r>
              <w:rPr>
                <w:rFonts w:eastAsia="宋体" w:cs="Times New Roman"/>
                <w:sz w:val="20"/>
                <w:szCs w:val="20"/>
              </w:rPr>
              <w:t>et 1(Legacy R15 cell-reselection requirement) or set 2 (R17 HST cell-reselection requirement) based on</w:t>
            </w:r>
            <w:r>
              <w:rPr>
                <w:rFonts w:hint="eastAsia" w:eastAsia="宋体" w:cs="Times New Roman"/>
                <w:sz w:val="20"/>
                <w:szCs w:val="20"/>
              </w:rPr>
              <w:t xml:space="preserve"> cell configuration, for </w:t>
            </w:r>
            <w:r>
              <w:rPr>
                <w:rFonts w:eastAsia="宋体" w:cs="Times New Roman"/>
                <w:sz w:val="20"/>
                <w:szCs w:val="20"/>
              </w:rPr>
              <w:t>example</w:t>
            </w:r>
            <w:r>
              <w:rPr>
                <w:rFonts w:hint="eastAsia" w:eastAsia="宋体" w:cs="Times New Roman"/>
                <w:sz w:val="20"/>
                <w:szCs w:val="20"/>
              </w:rPr>
              <w:t>,</w:t>
            </w:r>
            <w:r>
              <w:rPr>
                <w:rFonts w:eastAsia="宋体" w:cs="Times New Roman"/>
                <w:sz w:val="20"/>
                <w:szCs w:val="20"/>
              </w:rPr>
              <w:t xml:space="preserve"> the ISD, DRX configuration and so on</w:t>
            </w:r>
            <w:r>
              <w:rPr>
                <w:rFonts w:hint="eastAsia" w:eastAsia="宋体" w:cs="Times New Roman"/>
                <w:sz w:val="20"/>
                <w:szCs w:val="20"/>
              </w:rPr>
              <w:t>, which is up to BS implementation</w:t>
            </w:r>
            <w:r>
              <w:rPr>
                <w:rFonts w:eastAsia="宋体" w:cs="Times New Roman"/>
                <w:sz w:val="20"/>
                <w:szCs w:val="20"/>
              </w:rPr>
              <w:t>.</w:t>
            </w:r>
          </w:p>
          <w:p>
            <w:pPr>
              <w:pStyle w:val="2"/>
              <w:keepLines w:val="0"/>
              <w:pageBreakBefore w:val="0"/>
              <w:numPr>
                <w:ilvl w:val="0"/>
                <w:numId w:val="0"/>
              </w:numPr>
              <w:kinsoku/>
              <w:wordWrap/>
              <w:topLinePunct w:val="0"/>
              <w:bidi w:val="0"/>
              <w:snapToGrid/>
              <w:spacing w:before="0" w:after="0" w:line="240" w:lineRule="auto"/>
              <w:ind w:leftChars="0"/>
              <w:textAlignment w:val="auto"/>
              <w:rPr>
                <w:rFonts w:hint="eastAsia" w:eastAsia="宋体" w:cs="Arial"/>
                <w:b w:val="0"/>
                <w:bCs w:val="0"/>
                <w:kern w:val="0"/>
                <w:sz w:val="24"/>
                <w:szCs w:val="24"/>
                <w:lang w:val="en-US" w:eastAsia="zh-CN"/>
              </w:rPr>
            </w:pPr>
            <w:r>
              <w:rPr>
                <w:rFonts w:cs="Arial"/>
                <w:b w:val="0"/>
                <w:bCs w:val="0"/>
                <w:kern w:val="0"/>
                <w:sz w:val="24"/>
                <w:szCs w:val="24"/>
                <w:lang w:val="en-GB"/>
              </w:rPr>
              <w:t xml:space="preserve">Mobility in </w:t>
            </w:r>
            <w:r>
              <w:rPr>
                <w:rFonts w:hint="eastAsia" w:cs="Arial"/>
                <w:b w:val="0"/>
                <w:bCs w:val="0"/>
                <w:kern w:val="0"/>
                <w:sz w:val="24"/>
                <w:szCs w:val="24"/>
                <w:lang w:val="en-GB"/>
              </w:rPr>
              <w:t>R</w:t>
            </w:r>
            <w:r>
              <w:rPr>
                <w:rFonts w:cs="Arial"/>
                <w:b w:val="0"/>
                <w:bCs w:val="0"/>
                <w:kern w:val="0"/>
                <w:sz w:val="24"/>
                <w:szCs w:val="24"/>
                <w:lang w:val="en-GB"/>
              </w:rPr>
              <w:t>RC_CONNECTED</w:t>
            </w:r>
            <w:r>
              <w:rPr>
                <w:rFonts w:hint="eastAsia" w:eastAsia="宋体" w:cs="Arial"/>
                <w:b w:val="0"/>
                <w:bCs w:val="0"/>
                <w:kern w:val="0"/>
                <w:sz w:val="24"/>
                <w:szCs w:val="24"/>
                <w:lang w:val="en-US" w:eastAsia="zh-CN"/>
              </w:rPr>
              <w:t>:</w:t>
            </w:r>
          </w:p>
          <w:p>
            <w:pPr>
              <w:rPr>
                <w:b/>
                <w:sz w:val="20"/>
                <w:szCs w:val="20"/>
                <w:u w:val="single"/>
                <w:lang w:eastAsia="ko-KR"/>
              </w:rPr>
            </w:pPr>
            <w:r>
              <w:rPr>
                <w:b/>
                <w:sz w:val="20"/>
                <w:szCs w:val="20"/>
                <w:u w:val="single"/>
                <w:lang w:eastAsia="ko-KR"/>
              </w:rPr>
              <w:t>Issue 2-2-1: location-based CHO mechanism</w:t>
            </w:r>
          </w:p>
          <w:p>
            <w:pPr>
              <w:autoSpaceDE w:val="0"/>
              <w:autoSpaceDN w:val="0"/>
              <w:adjustRightInd w:val="0"/>
              <w:spacing w:after="60" w:line="240" w:lineRule="auto"/>
              <w:rPr>
                <w:rFonts w:eastAsiaTheme="minorEastAsia"/>
                <w:iCs/>
                <w:sz w:val="20"/>
                <w:szCs w:val="20"/>
              </w:rPr>
            </w:pPr>
            <w:r>
              <w:rPr>
                <w:rFonts w:hint="eastAsia" w:eastAsiaTheme="minorEastAsia"/>
                <w:iCs/>
                <w:sz w:val="20"/>
                <w:szCs w:val="20"/>
              </w:rPr>
              <w:t>A</w:t>
            </w:r>
            <w:r>
              <w:rPr>
                <w:rFonts w:eastAsiaTheme="minorEastAsia"/>
                <w:iCs/>
                <w:sz w:val="20"/>
                <w:szCs w:val="20"/>
              </w:rPr>
              <w:t>greements:</w:t>
            </w:r>
          </w:p>
          <w:p>
            <w:pPr>
              <w:pStyle w:val="28"/>
              <w:numPr>
                <w:ilvl w:val="0"/>
                <w:numId w:val="4"/>
              </w:numPr>
              <w:autoSpaceDE w:val="0"/>
              <w:autoSpaceDN w:val="0"/>
              <w:adjustRightInd w:val="0"/>
              <w:spacing w:after="120" w:line="240" w:lineRule="auto"/>
              <w:ind w:firstLineChars="0"/>
              <w:rPr>
                <w:rFonts w:eastAsia="宋体" w:cs="Times New Roman"/>
                <w:sz w:val="20"/>
                <w:szCs w:val="20"/>
              </w:rPr>
            </w:pPr>
            <w:r>
              <w:rPr>
                <w:rFonts w:eastAsia="宋体" w:cs="Times New Roman"/>
                <w:sz w:val="20"/>
                <w:szCs w:val="20"/>
              </w:rPr>
              <w:t>Option 1: For the location-based CHO, reusing the procedure in R17 NTN for R18 ATG (combines RSRP and location based triggering condition) with existing NTN signaling.</w:t>
            </w:r>
          </w:p>
          <w:p>
            <w:pPr>
              <w:pStyle w:val="28"/>
              <w:numPr>
                <w:ilvl w:val="0"/>
                <w:numId w:val="4"/>
              </w:numPr>
              <w:autoSpaceDE w:val="0"/>
              <w:autoSpaceDN w:val="0"/>
              <w:adjustRightInd w:val="0"/>
              <w:spacing w:after="120" w:line="240" w:lineRule="auto"/>
              <w:ind w:firstLineChars="0"/>
              <w:rPr>
                <w:rFonts w:hint="default" w:eastAsia="宋体" w:cs="Times New Roman"/>
                <w:sz w:val="20"/>
                <w:szCs w:val="20"/>
                <w:lang w:val="en-US" w:eastAsia="zh-CN"/>
              </w:rPr>
            </w:pPr>
            <w:r>
              <w:rPr>
                <w:rFonts w:eastAsia="宋体" w:cs="Times New Roman"/>
                <w:sz w:val="20"/>
                <w:szCs w:val="20"/>
              </w:rPr>
              <w:t>Option 2: Do not introduce location-based CHO.</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Great progress was achieved during previous meetings, still very limited issues are still suspending. In this document, we will provide some further analysis on the FFS issues.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2.1 Mobility requirement for IDLE/INACTIVE</w:t>
      </w:r>
    </w:p>
    <w:p>
      <w:pPr>
        <w:pStyle w:val="4"/>
        <w:rPr>
          <w:rFonts w:hint="eastAsia" w:eastAsia="宋体" w:cs="Times New Roman"/>
          <w:b w:val="0"/>
          <w:bCs w:val="0"/>
          <w:iCs w:val="0"/>
          <w:color w:val="auto"/>
          <w:kern w:val="32"/>
          <w:sz w:val="20"/>
          <w:szCs w:val="20"/>
          <w:u w:val="single"/>
          <w:lang w:val="en-US" w:eastAsia="zh-CN" w:bidi="ar-SA"/>
        </w:rPr>
      </w:pPr>
      <w:r>
        <w:rPr>
          <w:rFonts w:hint="eastAsia" w:eastAsia="宋体" w:cs="Times New Roman"/>
          <w:b w:val="0"/>
          <w:bCs w:val="0"/>
          <w:iCs w:val="0"/>
          <w:color w:val="auto"/>
          <w:kern w:val="32"/>
          <w:sz w:val="20"/>
          <w:szCs w:val="20"/>
          <w:u w:val="single"/>
          <w:lang w:val="en-US" w:eastAsia="zh-CN" w:bidi="ar-SA"/>
        </w:rPr>
        <w:t>Mechanism of Cell re-selection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Regarding the cell re-selection mechanism, it has been commonly recognized that ATG UE is turned off lower 3km altitude, so the ATG RRM requirements apply for ATG UE operating higher than 3km altitude. Based on this, no need to introduce any distance-based enhancement. It has been approved that reusing current UE capability for NR intra-frequency and inter-frequency measurement for ATG. Besides that, whether need to introduce the distance-based enhancement or not, it is still FFS. </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After the discussion in last meeting, the following options were kept in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4"/>
              </w:numPr>
              <w:spacing w:after="120"/>
              <w:ind w:left="516" w:leftChars="0" w:hanging="360" w:firstLineChars="0"/>
              <w:rPr>
                <w:rFonts w:eastAsia="宋体" w:cs="Times New Roman"/>
                <w:sz w:val="20"/>
                <w:szCs w:val="20"/>
              </w:rPr>
            </w:pPr>
            <w:r>
              <w:rPr>
                <w:rFonts w:hint="eastAsia" w:eastAsia="宋体" w:cs="Times New Roman"/>
                <w:sz w:val="20"/>
                <w:szCs w:val="20"/>
              </w:rPr>
              <w:t xml:space="preserve">Option 1: </w:t>
            </w:r>
            <w:r>
              <w:rPr>
                <w:rFonts w:eastAsia="宋体" w:cs="Times New Roman"/>
                <w:sz w:val="20"/>
                <w:szCs w:val="20"/>
              </w:rPr>
              <w:t>Introduce distance-based triggering as an additional condition for intra- and inter-frequency cell measurement as NTN, whether and how to configure the feature is up to network implementation</w:t>
            </w:r>
            <w:r>
              <w:rPr>
                <w:rFonts w:hint="eastAsia" w:eastAsia="宋体" w:cs="Times New Roman"/>
                <w:sz w:val="20"/>
                <w:szCs w:val="20"/>
              </w:rPr>
              <w:t xml:space="preserve">, provided that existing NTN </w:t>
            </w:r>
            <w:r>
              <w:rPr>
                <w:rFonts w:eastAsia="宋体" w:cs="Times New Roman"/>
                <w:sz w:val="20"/>
                <w:szCs w:val="20"/>
              </w:rPr>
              <w:t>signalling</w:t>
            </w:r>
            <w:r>
              <w:rPr>
                <w:rFonts w:hint="eastAsia" w:eastAsia="宋体" w:cs="Times New Roman"/>
                <w:sz w:val="20"/>
                <w:szCs w:val="20"/>
              </w:rPr>
              <w:t xml:space="preserve"> is reused.</w:t>
            </w:r>
          </w:p>
          <w:p>
            <w:pPr>
              <w:pStyle w:val="28"/>
              <w:numPr>
                <w:ilvl w:val="0"/>
                <w:numId w:val="4"/>
              </w:numPr>
              <w:spacing w:after="120"/>
              <w:ind w:left="516" w:leftChars="0" w:hanging="360" w:firstLineChars="0"/>
              <w:rPr>
                <w:rFonts w:hint="default" w:eastAsia="宋体"/>
                <w:color w:val="auto"/>
                <w:sz w:val="20"/>
                <w:szCs w:val="20"/>
                <w:highlight w:val="none"/>
                <w:vertAlign w:val="baseline"/>
                <w:lang w:val="en-US" w:eastAsia="zh-CN"/>
              </w:rPr>
            </w:pPr>
            <w:r>
              <w:rPr>
                <w:rFonts w:hint="eastAsia" w:eastAsia="宋体" w:cs="Times New Roman"/>
                <w:sz w:val="20"/>
                <w:szCs w:val="20"/>
              </w:rPr>
              <w:t xml:space="preserve">Option 2: Do not introduce distance-based </w:t>
            </w:r>
            <w:r>
              <w:rPr>
                <w:rFonts w:eastAsia="宋体" w:cs="Times New Roman"/>
                <w:sz w:val="20"/>
                <w:szCs w:val="20"/>
              </w:rPr>
              <w:t>triggering</w:t>
            </w:r>
            <w:r>
              <w:rPr>
                <w:rFonts w:hint="eastAsia" w:eastAsia="宋体" w:cs="Times New Roman"/>
                <w:sz w:val="20"/>
                <w:szCs w:val="20"/>
              </w:rPr>
              <w:t xml:space="preserve"> measurement. </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above options, after warmly discussion, three candidates were kept:</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With respect to Option 1, considering the ATG CPE should be more powerful than normal hand-held UE and not constraint by the size. So the power consumption is not the factor which should be mainly considered. No matter whether support the additional distance based consideration, the ATG CPE can work. So we are open to such distance based enhancement.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ATG CPE should be more powerful than normal hand-held UE and not constraint by the size. So the power consumption is not the factor which should be mainly considered.</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We are open to the optional distance based cell re-selection like NTN. </w:t>
      </w:r>
    </w:p>
    <w:p>
      <w:pPr>
        <w:pStyle w:val="3"/>
        <w:bidi w:val="0"/>
        <w:rPr>
          <w:rFonts w:hint="eastAsia" w:eastAsia="宋体"/>
          <w:color w:val="auto"/>
          <w:sz w:val="20"/>
          <w:szCs w:val="20"/>
          <w:highlight w:val="none"/>
          <w:u w:val="single"/>
          <w:lang w:val="en-US" w:eastAsia="zh-CN"/>
        </w:rPr>
      </w:pPr>
      <w:r>
        <w:rPr>
          <w:rFonts w:hint="eastAsia" w:eastAsia="宋体" w:cs="Times New Roman"/>
          <w:b/>
          <w:bCs/>
          <w:iCs w:val="0"/>
          <w:color w:val="auto"/>
          <w:kern w:val="32"/>
          <w:sz w:val="28"/>
          <w:szCs w:val="32"/>
          <w:lang w:val="en-US" w:eastAsia="zh-CN" w:bidi="ar-SA"/>
        </w:rPr>
        <w:t>2.2 Mobility requirement for CONNECTED</w:t>
      </w:r>
    </w:p>
    <w:p>
      <w:pPr>
        <w:pStyle w:val="4"/>
        <w:numPr>
          <w:ilvl w:val="0"/>
          <w:numId w:val="0"/>
        </w:numPr>
        <w:ind w:leftChars="0"/>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Conditional Handover</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During 106 meeting, it has been approved that the conditional handover can be introduced for ATG. Whether introduce any location-based enhancement, which was discussed in last meeting. The following candidates are captured in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4"/>
              </w:numPr>
              <w:spacing w:after="120"/>
              <w:ind w:firstLineChars="0"/>
              <w:rPr>
                <w:rFonts w:eastAsia="宋体" w:cs="Times New Roman"/>
                <w:sz w:val="20"/>
                <w:szCs w:val="20"/>
              </w:rPr>
            </w:pPr>
            <w:r>
              <w:rPr>
                <w:rFonts w:eastAsia="宋体" w:cs="Times New Roman"/>
                <w:sz w:val="20"/>
                <w:szCs w:val="20"/>
              </w:rPr>
              <w:t>Option 1: For the location-based CHO, reusing the procedure in R17 NTN for R18 ATG (combines RSRP and location based triggering condition) with existing NTN signaling.</w:t>
            </w:r>
          </w:p>
          <w:p>
            <w:pPr>
              <w:pStyle w:val="28"/>
              <w:numPr>
                <w:ilvl w:val="0"/>
                <w:numId w:val="4"/>
              </w:numPr>
              <w:spacing w:after="120"/>
              <w:ind w:firstLineChars="0"/>
              <w:rPr>
                <w:rFonts w:hint="default" w:eastAsia="宋体"/>
                <w:color w:val="auto"/>
                <w:sz w:val="20"/>
                <w:szCs w:val="20"/>
                <w:vertAlign w:val="baseline"/>
                <w:lang w:val="en-US" w:eastAsia="zh-CN"/>
              </w:rPr>
            </w:pPr>
            <w:r>
              <w:rPr>
                <w:rFonts w:eastAsia="宋体" w:cs="Times New Roman"/>
                <w:sz w:val="20"/>
                <w:szCs w:val="20"/>
              </w:rPr>
              <w:t>Option 2: Do not introduce location-based CHO.</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R17 NTN, location-based CHO was introduced. Accordingly, conditional event D1 was introduced. The following description are related: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autoSpaceDE w:val="0"/>
              <w:autoSpaceDN w:val="0"/>
              <w:adjustRightInd w:val="0"/>
              <w:spacing w:after="0" w:line="360" w:lineRule="auto"/>
              <w:rPr>
                <w:rFonts w:hint="default" w:eastAsia="宋体"/>
                <w:color w:val="auto"/>
                <w:sz w:val="20"/>
                <w:szCs w:val="20"/>
                <w:vertAlign w:val="baseline"/>
                <w:lang w:val="en-US" w:eastAsia="zh-CN"/>
              </w:rPr>
            </w:pPr>
            <w:r>
              <w:rPr>
                <w:rFonts w:hint="default"/>
                <w:color w:val="auto"/>
                <w:vertAlign w:val="baseline"/>
                <w:lang w:val="en-US" w:eastAsia="zh-CN"/>
              </w:rPr>
              <w:t>CondEvent D1: Distance between UE and a reference location referenceLocation1 becomes larger than configured threshold distanceThreshFromReference1 and distance between UE and a reference location referenceLocation2 of conditional reconfiguration candidate becomes shorter than configured threshold distanceThreshFromReference2;</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By comparing the distance between the UE to the current cell and the UE to the target cell with the respective threshold, the UE can identity whether the condition of CHO is met. So to our understanding, the reference location referred to is the current cell or the target cell location, i.e. same as which in NTN. Regarding to the whole procedure, reusing the procedure in R17 NTN is fine.</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For details of the reference location, </w:t>
      </w:r>
      <w:r>
        <w:rPr>
          <w:rFonts w:hint="eastAsia" w:eastAsia="宋体"/>
          <w:i/>
          <w:iCs/>
          <w:color w:val="auto"/>
          <w:sz w:val="20"/>
          <w:szCs w:val="20"/>
          <w:lang w:val="en-US" w:eastAsia="zh-CN"/>
        </w:rPr>
        <w:t>referencelocation-r17</w:t>
      </w:r>
      <w:r>
        <w:rPr>
          <w:rFonts w:hint="eastAsia" w:eastAsia="宋体"/>
          <w:color w:val="auto"/>
          <w:sz w:val="20"/>
          <w:szCs w:val="20"/>
          <w:lang w:val="en-US" w:eastAsia="zh-CN"/>
        </w:rPr>
        <w:t xml:space="preserve"> related information are as follows:</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drawing>
          <wp:inline distT="0" distB="0" distL="0" distR="0">
            <wp:extent cx="5412105" cy="1148080"/>
            <wp:effectExtent l="0" t="0" r="13335" b="1016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412105" cy="1148080"/>
                    </a:xfrm>
                    <a:prstGeom prst="rect">
                      <a:avLst/>
                    </a:prstGeom>
                    <a:noFill/>
                    <a:ln>
                      <a:noFill/>
                    </a:ln>
                  </pic:spPr>
                </pic:pic>
              </a:graphicData>
            </a:graphic>
          </wp:inline>
        </w:drawing>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drawing>
          <wp:inline distT="0" distB="0" distL="0" distR="0">
            <wp:extent cx="5412105" cy="1722755"/>
            <wp:effectExtent l="0" t="0" r="13335" b="146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412105" cy="1722755"/>
                    </a:xfrm>
                    <a:prstGeom prst="rect">
                      <a:avLst/>
                    </a:prstGeom>
                    <a:noFill/>
                    <a:ln>
                      <a:noFill/>
                    </a:ln>
                  </pic:spPr>
                </pic:pic>
              </a:graphicData>
            </a:graphic>
          </wp:inline>
        </w:drawing>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To our understand, if the location-based CHO is introduced for ATG, reuse the </w:t>
      </w:r>
      <w:r>
        <w:rPr>
          <w:rFonts w:hint="eastAsia" w:eastAsia="宋体"/>
          <w:i/>
          <w:iCs/>
          <w:color w:val="auto"/>
          <w:sz w:val="20"/>
          <w:szCs w:val="20"/>
          <w:lang w:val="en-US" w:eastAsia="zh-CN"/>
        </w:rPr>
        <w:t>referencelocation-r17</w:t>
      </w:r>
      <w:r>
        <w:rPr>
          <w:rFonts w:hint="eastAsia" w:eastAsia="宋体"/>
          <w:i w:val="0"/>
          <w:iCs w:val="0"/>
          <w:color w:val="auto"/>
          <w:sz w:val="20"/>
          <w:szCs w:val="20"/>
          <w:lang w:val="en-US" w:eastAsia="zh-CN"/>
        </w:rPr>
        <w:t xml:space="preserve"> of </w:t>
      </w:r>
      <w:r>
        <w:rPr>
          <w:rFonts w:hint="eastAsia" w:eastAsia="宋体"/>
          <w:color w:val="auto"/>
          <w:sz w:val="20"/>
          <w:szCs w:val="20"/>
          <w:lang w:val="en-US" w:eastAsia="zh-CN"/>
        </w:rPr>
        <w:t>the R17 NTN is fine, UE can determine the BS location through the latitude and longitude information.</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For the location-based CHO, reusing the procedure in R17 NTN is fine. Furthermore, for the reference location of serving cell and target cell, reuse the </w:t>
      </w:r>
      <w:r>
        <w:rPr>
          <w:rFonts w:hint="eastAsia" w:eastAsia="宋体" w:cs="Times New Roman"/>
          <w:b/>
          <w:bCs/>
          <w:i/>
          <w:iCs/>
          <w:color w:val="auto"/>
          <w:sz w:val="20"/>
          <w:szCs w:val="20"/>
          <w:highlight w:val="none"/>
          <w:lang w:val="en-US" w:eastAsia="zh-CN" w:bidi="ar-SA"/>
        </w:rPr>
        <w:t>referencelocation-r17</w:t>
      </w:r>
      <w:r>
        <w:rPr>
          <w:rFonts w:hint="eastAsia" w:eastAsia="宋体" w:cs="Times New Roman"/>
          <w:b/>
          <w:bCs/>
          <w:color w:val="auto"/>
          <w:sz w:val="20"/>
          <w:szCs w:val="20"/>
          <w:highlight w:val="none"/>
          <w:lang w:val="en-US" w:eastAsia="zh-CN" w:bidi="ar-SA"/>
        </w:rPr>
        <w:t xml:space="preserve"> of the R17 NTN is fine.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spacing w:before="156" w:beforeLines="50"/>
        <w:rPr>
          <w:rFonts w:hint="eastAsia" w:eastAsia="宋体"/>
          <w:color w:val="auto"/>
          <w:sz w:val="20"/>
          <w:szCs w:val="20"/>
          <w:lang w:val="en-GB" w:eastAsia="zh-CN"/>
        </w:rPr>
      </w:pPr>
      <w:r>
        <w:rPr>
          <w:rFonts w:hint="eastAsia" w:eastAsia="宋体"/>
          <w:color w:val="auto"/>
          <w:sz w:val="20"/>
          <w:szCs w:val="20"/>
          <w:lang w:val="en-GB" w:eastAsia="zh-CN"/>
        </w:rPr>
        <w:t xml:space="preserve">In this </w:t>
      </w:r>
      <w:r>
        <w:rPr>
          <w:rFonts w:hint="eastAsia" w:eastAsia="宋体"/>
          <w:color w:val="auto"/>
          <w:sz w:val="20"/>
          <w:szCs w:val="20"/>
          <w:lang w:val="en-US" w:eastAsia="zh-CN"/>
        </w:rPr>
        <w:t>contribution</w:t>
      </w:r>
      <w:r>
        <w:rPr>
          <w:rFonts w:hint="eastAsia" w:eastAsia="宋体"/>
          <w:color w:val="auto"/>
          <w:sz w:val="20"/>
          <w:szCs w:val="20"/>
          <w:lang w:val="en-GB" w:eastAsia="zh-CN"/>
        </w:rPr>
        <w:t>, we have the following proposals</w:t>
      </w:r>
      <w:r>
        <w:rPr>
          <w:rFonts w:hint="eastAsia" w:eastAsia="宋体"/>
          <w:color w:val="auto"/>
          <w:sz w:val="20"/>
          <w:szCs w:val="20"/>
          <w:lang w:val="en-US" w:eastAsia="zh-CN"/>
        </w:rPr>
        <w:t xml:space="preserve"> </w:t>
      </w:r>
      <w:r>
        <w:rPr>
          <w:rFonts w:hint="eastAsia" w:eastAsia="宋体"/>
          <w:color w:val="auto"/>
          <w:sz w:val="20"/>
          <w:szCs w:val="20"/>
          <w:lang w:val="en-GB" w:eastAsia="zh-CN"/>
        </w:rPr>
        <w:t xml:space="preserve">for </w:t>
      </w:r>
      <w:r>
        <w:rPr>
          <w:rFonts w:hint="eastAsia" w:eastAsia="宋体"/>
          <w:color w:val="auto"/>
          <w:sz w:val="20"/>
          <w:szCs w:val="20"/>
          <w:lang w:val="en-US" w:eastAsia="zh-CN"/>
        </w:rPr>
        <w:t>the consideration of RRM aspects for ATG system</w:t>
      </w:r>
      <w:r>
        <w:rPr>
          <w:rFonts w:hint="eastAsia" w:eastAsia="宋体"/>
          <w:color w:val="auto"/>
          <w:sz w:val="20"/>
          <w:szCs w:val="20"/>
          <w:lang w:val="en-GB" w:eastAsia="zh-CN"/>
        </w:rPr>
        <w: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ATG CPE should be more powerful than normal hand-held UE and not constraint by the size. So the power consumption is not the factor which should be mainly considered.</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We are open to the optional distance based cell re-selection like NTN. </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For the location-based CHO, reusing the procedure in R17 NTN is fine. Furthermore, for the reference location of serving cell and target cell, reuse the </w:t>
      </w:r>
      <w:r>
        <w:rPr>
          <w:rFonts w:hint="eastAsia" w:eastAsia="宋体" w:cs="Times New Roman"/>
          <w:b/>
          <w:bCs/>
          <w:i/>
          <w:iCs/>
          <w:color w:val="auto"/>
          <w:sz w:val="20"/>
          <w:szCs w:val="20"/>
          <w:highlight w:val="none"/>
          <w:lang w:val="en-US" w:eastAsia="zh-CN" w:bidi="ar-SA"/>
        </w:rPr>
        <w:t>referencelocation-r17</w:t>
      </w:r>
      <w:r>
        <w:rPr>
          <w:rFonts w:hint="eastAsia" w:eastAsia="宋体" w:cs="Times New Roman"/>
          <w:b/>
          <w:bCs/>
          <w:color w:val="auto"/>
          <w:sz w:val="20"/>
          <w:szCs w:val="20"/>
          <w:highlight w:val="none"/>
          <w:lang w:val="en-US" w:eastAsia="zh-CN" w:bidi="ar-SA"/>
        </w:rPr>
        <w:t xml:space="preserve"> of the R17 NTN is fine.</w:t>
      </w:r>
    </w:p>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5"/>
        </w:numPr>
        <w:ind w:left="0" w:leftChars="0" w:firstLine="0" w:firstLineChars="0"/>
        <w:rPr>
          <w:rFonts w:hint="default"/>
          <w:color w:val="auto"/>
          <w:lang w:val="en-US" w:eastAsia="zh-CN"/>
        </w:rPr>
      </w:pPr>
      <w:r>
        <w:rPr>
          <w:rFonts w:hint="eastAsia"/>
          <w:color w:val="auto"/>
          <w:lang w:val="en-US" w:eastAsia="zh-CN"/>
        </w:rPr>
        <w:t xml:space="preserve">R4-2310159 </w:t>
      </w:r>
      <w:r>
        <w:rPr>
          <w:rFonts w:hint="default"/>
          <w:color w:val="auto"/>
          <w:lang w:val="en-US" w:eastAsia="zh-CN"/>
        </w:rPr>
        <w:t>“</w:t>
      </w:r>
      <w:bookmarkStart w:id="0" w:name="_Hlk41145953"/>
      <w:r>
        <w:rPr>
          <w:rFonts w:hint="default"/>
          <w:color w:val="auto"/>
          <w:lang w:val="en-US" w:eastAsia="zh-CN"/>
        </w:rPr>
        <w:t>WF on NR ATG RRM</w:t>
      </w:r>
      <w:bookmarkEnd w:id="0"/>
      <w:r>
        <w:rPr>
          <w:rFonts w:hint="default"/>
          <w:color w:val="auto"/>
          <w:lang w:val="en-US" w:eastAsia="zh-CN"/>
        </w:rPr>
        <w:t xml:space="preserve"> requirements”</w:t>
      </w:r>
      <w:r>
        <w:rPr>
          <w:rFonts w:hint="eastAsia"/>
          <w:color w:val="auto"/>
          <w:lang w:val="en-US" w:eastAsia="zh-CN"/>
        </w:rPr>
        <w:t>, CMCC</w:t>
      </w: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4">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4BF8"/>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905"/>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29A"/>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4CC790A"/>
    <w:rsid w:val="04F620FE"/>
    <w:rsid w:val="05317828"/>
    <w:rsid w:val="05477E90"/>
    <w:rsid w:val="05BB5AB9"/>
    <w:rsid w:val="05C42923"/>
    <w:rsid w:val="06226EA6"/>
    <w:rsid w:val="06250619"/>
    <w:rsid w:val="06963BA6"/>
    <w:rsid w:val="07CD3CDD"/>
    <w:rsid w:val="083E6EA0"/>
    <w:rsid w:val="0855671D"/>
    <w:rsid w:val="089009EB"/>
    <w:rsid w:val="08EA2407"/>
    <w:rsid w:val="09716BCA"/>
    <w:rsid w:val="09A356DC"/>
    <w:rsid w:val="09D64B23"/>
    <w:rsid w:val="09DC697F"/>
    <w:rsid w:val="09E644B8"/>
    <w:rsid w:val="0A867423"/>
    <w:rsid w:val="0AB155C2"/>
    <w:rsid w:val="0B12013A"/>
    <w:rsid w:val="0B3D3C2F"/>
    <w:rsid w:val="0BB0429A"/>
    <w:rsid w:val="0BDD6CEC"/>
    <w:rsid w:val="0BFF5FC6"/>
    <w:rsid w:val="0C394019"/>
    <w:rsid w:val="0CD05342"/>
    <w:rsid w:val="0CDB4E5B"/>
    <w:rsid w:val="0DEE745F"/>
    <w:rsid w:val="0E273AF7"/>
    <w:rsid w:val="0E911950"/>
    <w:rsid w:val="0FAD3D1E"/>
    <w:rsid w:val="102263EF"/>
    <w:rsid w:val="10997F43"/>
    <w:rsid w:val="109B4704"/>
    <w:rsid w:val="10DE7BAE"/>
    <w:rsid w:val="11992DE5"/>
    <w:rsid w:val="120774A3"/>
    <w:rsid w:val="12887761"/>
    <w:rsid w:val="12C90C2C"/>
    <w:rsid w:val="14006D19"/>
    <w:rsid w:val="1481754F"/>
    <w:rsid w:val="148F32AB"/>
    <w:rsid w:val="148F5721"/>
    <w:rsid w:val="14AC57CD"/>
    <w:rsid w:val="15ED3E9B"/>
    <w:rsid w:val="16310FDF"/>
    <w:rsid w:val="164514BE"/>
    <w:rsid w:val="166B2EA9"/>
    <w:rsid w:val="16E73296"/>
    <w:rsid w:val="170F06AA"/>
    <w:rsid w:val="17225508"/>
    <w:rsid w:val="17B07FBC"/>
    <w:rsid w:val="18066730"/>
    <w:rsid w:val="180A6E32"/>
    <w:rsid w:val="183F2CD2"/>
    <w:rsid w:val="1856323E"/>
    <w:rsid w:val="18AF55E3"/>
    <w:rsid w:val="18B077E2"/>
    <w:rsid w:val="18B1519A"/>
    <w:rsid w:val="18CD0507"/>
    <w:rsid w:val="18F36BA5"/>
    <w:rsid w:val="195D7D48"/>
    <w:rsid w:val="1AD01A1B"/>
    <w:rsid w:val="1B61065A"/>
    <w:rsid w:val="1BBF3927"/>
    <w:rsid w:val="1C177B08"/>
    <w:rsid w:val="1C9001C6"/>
    <w:rsid w:val="1CA45E64"/>
    <w:rsid w:val="1CBA2101"/>
    <w:rsid w:val="1D0573D7"/>
    <w:rsid w:val="1D153DC4"/>
    <w:rsid w:val="1D223E0B"/>
    <w:rsid w:val="1D317C9F"/>
    <w:rsid w:val="1E132F88"/>
    <w:rsid w:val="1E2867E9"/>
    <w:rsid w:val="1E853F6F"/>
    <w:rsid w:val="1E9C7BCC"/>
    <w:rsid w:val="1ECC1E3C"/>
    <w:rsid w:val="1ED01853"/>
    <w:rsid w:val="208364FC"/>
    <w:rsid w:val="208953F9"/>
    <w:rsid w:val="21014C39"/>
    <w:rsid w:val="21244EB1"/>
    <w:rsid w:val="213964D8"/>
    <w:rsid w:val="21595D04"/>
    <w:rsid w:val="21F13629"/>
    <w:rsid w:val="223236B6"/>
    <w:rsid w:val="2255462C"/>
    <w:rsid w:val="2305377E"/>
    <w:rsid w:val="23680784"/>
    <w:rsid w:val="23901822"/>
    <w:rsid w:val="23CE4288"/>
    <w:rsid w:val="24122135"/>
    <w:rsid w:val="24D4257E"/>
    <w:rsid w:val="2572202B"/>
    <w:rsid w:val="2605683C"/>
    <w:rsid w:val="26BB1419"/>
    <w:rsid w:val="27B748AA"/>
    <w:rsid w:val="27CB4CB9"/>
    <w:rsid w:val="281C2F58"/>
    <w:rsid w:val="29001FBB"/>
    <w:rsid w:val="29642C4B"/>
    <w:rsid w:val="2A34628C"/>
    <w:rsid w:val="2A724D05"/>
    <w:rsid w:val="2A7E505C"/>
    <w:rsid w:val="2AC85686"/>
    <w:rsid w:val="2AD04B5F"/>
    <w:rsid w:val="2BC05B2C"/>
    <w:rsid w:val="2BD617C5"/>
    <w:rsid w:val="2C112837"/>
    <w:rsid w:val="2C9B1252"/>
    <w:rsid w:val="2C9C2786"/>
    <w:rsid w:val="2CC13667"/>
    <w:rsid w:val="2CE6564D"/>
    <w:rsid w:val="2CFD0BC8"/>
    <w:rsid w:val="2E014790"/>
    <w:rsid w:val="2EE77680"/>
    <w:rsid w:val="2F2F0FC8"/>
    <w:rsid w:val="2F87127D"/>
    <w:rsid w:val="2FA70460"/>
    <w:rsid w:val="301C6BB6"/>
    <w:rsid w:val="30515663"/>
    <w:rsid w:val="30906849"/>
    <w:rsid w:val="319708F2"/>
    <w:rsid w:val="31A8260E"/>
    <w:rsid w:val="31B14C9E"/>
    <w:rsid w:val="332B149D"/>
    <w:rsid w:val="337014F0"/>
    <w:rsid w:val="33C522D7"/>
    <w:rsid w:val="344C156B"/>
    <w:rsid w:val="34525D28"/>
    <w:rsid w:val="34807672"/>
    <w:rsid w:val="35510C5F"/>
    <w:rsid w:val="35B06C6A"/>
    <w:rsid w:val="366149EB"/>
    <w:rsid w:val="36941AA2"/>
    <w:rsid w:val="36D37423"/>
    <w:rsid w:val="37613328"/>
    <w:rsid w:val="379D23F9"/>
    <w:rsid w:val="38007640"/>
    <w:rsid w:val="39EC129A"/>
    <w:rsid w:val="3A10297D"/>
    <w:rsid w:val="3A185287"/>
    <w:rsid w:val="3A1F46B8"/>
    <w:rsid w:val="3A692CD0"/>
    <w:rsid w:val="3AAE4AA7"/>
    <w:rsid w:val="3AF23299"/>
    <w:rsid w:val="3B270929"/>
    <w:rsid w:val="3B3931F4"/>
    <w:rsid w:val="3B3D5571"/>
    <w:rsid w:val="3B673620"/>
    <w:rsid w:val="3B9A1F29"/>
    <w:rsid w:val="3CE4646B"/>
    <w:rsid w:val="3CFC1228"/>
    <w:rsid w:val="3D5E7AA8"/>
    <w:rsid w:val="3D6F2596"/>
    <w:rsid w:val="3D946587"/>
    <w:rsid w:val="405F175E"/>
    <w:rsid w:val="409F0AAA"/>
    <w:rsid w:val="40C765F3"/>
    <w:rsid w:val="421E6631"/>
    <w:rsid w:val="42F869D2"/>
    <w:rsid w:val="43553536"/>
    <w:rsid w:val="44665ED2"/>
    <w:rsid w:val="44972678"/>
    <w:rsid w:val="451632B9"/>
    <w:rsid w:val="45906394"/>
    <w:rsid w:val="45F60A50"/>
    <w:rsid w:val="46142D0C"/>
    <w:rsid w:val="46263A53"/>
    <w:rsid w:val="46970A81"/>
    <w:rsid w:val="46B036BF"/>
    <w:rsid w:val="46CC320F"/>
    <w:rsid w:val="47282363"/>
    <w:rsid w:val="47810C98"/>
    <w:rsid w:val="47924F0A"/>
    <w:rsid w:val="47EE5B4D"/>
    <w:rsid w:val="48F407FD"/>
    <w:rsid w:val="491F76E6"/>
    <w:rsid w:val="49DC4EAC"/>
    <w:rsid w:val="49E55BC5"/>
    <w:rsid w:val="4A5D0BB5"/>
    <w:rsid w:val="4B600E77"/>
    <w:rsid w:val="4B8F684D"/>
    <w:rsid w:val="4BF02011"/>
    <w:rsid w:val="4C1C63D6"/>
    <w:rsid w:val="4C2D52ED"/>
    <w:rsid w:val="4C6C4AB8"/>
    <w:rsid w:val="4C864A35"/>
    <w:rsid w:val="4D207A05"/>
    <w:rsid w:val="4D3A74CA"/>
    <w:rsid w:val="4D53283E"/>
    <w:rsid w:val="4E015C76"/>
    <w:rsid w:val="4E310026"/>
    <w:rsid w:val="4E4A2325"/>
    <w:rsid w:val="4FC7362A"/>
    <w:rsid w:val="501A6C55"/>
    <w:rsid w:val="505622E5"/>
    <w:rsid w:val="515B1740"/>
    <w:rsid w:val="51B14BED"/>
    <w:rsid w:val="52526454"/>
    <w:rsid w:val="525C1CEF"/>
    <w:rsid w:val="528B5767"/>
    <w:rsid w:val="52D33625"/>
    <w:rsid w:val="53A3105E"/>
    <w:rsid w:val="53C64B93"/>
    <w:rsid w:val="54485142"/>
    <w:rsid w:val="548A6C60"/>
    <w:rsid w:val="54B73762"/>
    <w:rsid w:val="55B1164D"/>
    <w:rsid w:val="55B4735E"/>
    <w:rsid w:val="55BB221D"/>
    <w:rsid w:val="56371459"/>
    <w:rsid w:val="56484633"/>
    <w:rsid w:val="572B038E"/>
    <w:rsid w:val="57FF4799"/>
    <w:rsid w:val="58D0053D"/>
    <w:rsid w:val="595A2A3C"/>
    <w:rsid w:val="598C40A0"/>
    <w:rsid w:val="59DA647E"/>
    <w:rsid w:val="5A556E1A"/>
    <w:rsid w:val="5A646258"/>
    <w:rsid w:val="5BF92FF2"/>
    <w:rsid w:val="5C402237"/>
    <w:rsid w:val="5C924E81"/>
    <w:rsid w:val="5D0466F6"/>
    <w:rsid w:val="5E2864D0"/>
    <w:rsid w:val="5E494511"/>
    <w:rsid w:val="5EB44FC0"/>
    <w:rsid w:val="5F6120F2"/>
    <w:rsid w:val="5FBA395F"/>
    <w:rsid w:val="60094E5C"/>
    <w:rsid w:val="606F38F4"/>
    <w:rsid w:val="60EC2CBA"/>
    <w:rsid w:val="60F20F7F"/>
    <w:rsid w:val="61CC2D28"/>
    <w:rsid w:val="634005D3"/>
    <w:rsid w:val="635902CD"/>
    <w:rsid w:val="64706BBE"/>
    <w:rsid w:val="64F2095B"/>
    <w:rsid w:val="65A16A49"/>
    <w:rsid w:val="66105DCB"/>
    <w:rsid w:val="66F31E7F"/>
    <w:rsid w:val="67A858DB"/>
    <w:rsid w:val="67F953C2"/>
    <w:rsid w:val="67FE4166"/>
    <w:rsid w:val="68C401C3"/>
    <w:rsid w:val="69A833BD"/>
    <w:rsid w:val="69BC5B30"/>
    <w:rsid w:val="69C760FB"/>
    <w:rsid w:val="69EF6835"/>
    <w:rsid w:val="6BEB0723"/>
    <w:rsid w:val="6CB41273"/>
    <w:rsid w:val="6D566F0F"/>
    <w:rsid w:val="6D836F72"/>
    <w:rsid w:val="6DDE3DAF"/>
    <w:rsid w:val="6E3241BE"/>
    <w:rsid w:val="6EB97A9D"/>
    <w:rsid w:val="6EF10A90"/>
    <w:rsid w:val="6EFC7DED"/>
    <w:rsid w:val="6F2A7FBF"/>
    <w:rsid w:val="6F9B4594"/>
    <w:rsid w:val="6FCF7148"/>
    <w:rsid w:val="6FFF1868"/>
    <w:rsid w:val="715F4C2D"/>
    <w:rsid w:val="722F78FB"/>
    <w:rsid w:val="723370A2"/>
    <w:rsid w:val="723C2F8E"/>
    <w:rsid w:val="723D67C5"/>
    <w:rsid w:val="726A5F44"/>
    <w:rsid w:val="72BF60CA"/>
    <w:rsid w:val="72F41282"/>
    <w:rsid w:val="73146C33"/>
    <w:rsid w:val="733D0D32"/>
    <w:rsid w:val="73B76769"/>
    <w:rsid w:val="73D411F1"/>
    <w:rsid w:val="74A356B2"/>
    <w:rsid w:val="753811DE"/>
    <w:rsid w:val="75BE67D4"/>
    <w:rsid w:val="75C2004C"/>
    <w:rsid w:val="75C759C1"/>
    <w:rsid w:val="76281B03"/>
    <w:rsid w:val="762D64F3"/>
    <w:rsid w:val="762E20AD"/>
    <w:rsid w:val="767E7EFF"/>
    <w:rsid w:val="775B4604"/>
    <w:rsid w:val="77C067C3"/>
    <w:rsid w:val="78074939"/>
    <w:rsid w:val="78911E31"/>
    <w:rsid w:val="78CC1C43"/>
    <w:rsid w:val="78F9732D"/>
    <w:rsid w:val="7922350F"/>
    <w:rsid w:val="792B5470"/>
    <w:rsid w:val="7A9367CB"/>
    <w:rsid w:val="7AF22571"/>
    <w:rsid w:val="7B0720CF"/>
    <w:rsid w:val="7B4C0E47"/>
    <w:rsid w:val="7B69224B"/>
    <w:rsid w:val="7BE80F25"/>
    <w:rsid w:val="7BEF265F"/>
    <w:rsid w:val="7C1C35A7"/>
    <w:rsid w:val="7C45431D"/>
    <w:rsid w:val="7D25352B"/>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2023-08-11T13:11:00Z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